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outlineLvl w:val="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3GPP TSG-RAN WG4 Meeting # 106bis-e                               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/>
          <w:b/>
          <w:sz w:val="24"/>
        </w:rPr>
        <w:t>R4-230</w:t>
      </w:r>
      <w:r>
        <w:rPr>
          <w:rFonts w:hint="eastAsia" w:eastAsia="宋体"/>
          <w:b/>
          <w:sz w:val="24"/>
          <w:lang w:val="en-US" w:eastAsia="zh-CN"/>
        </w:rPr>
        <w:t>4795</w:t>
      </w:r>
      <w:r>
        <w:rPr>
          <w:rFonts w:hint="eastAsia"/>
          <w:b/>
          <w:sz w:val="24"/>
        </w:rPr>
        <w:t xml:space="preserve">                          </w:t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</w:rPr>
        <w:t>Online, April 17 – April 26,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38.101-5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0019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bookmarkStart w:id="196" w:name="_GoBack"/>
            <w:bookmarkEnd w:id="196"/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8.1.0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CR to TS38.10</w:t>
            </w:r>
            <w:r>
              <w:rPr>
                <w:rFonts w:hint="eastAsia" w:eastAsia="宋体"/>
                <w:lang w:val="en-US" w:eastAsia="zh-CN"/>
              </w:rPr>
              <w:t>1-5</w:t>
            </w:r>
            <w:r>
              <w:rPr>
                <w:rFonts w:hint="eastAsia"/>
              </w:rPr>
              <w:t xml:space="preserve"> Introduction of the satellite L-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hint="eastAsia"/>
              </w:rPr>
              <w:t>S-band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2023-04-05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  <w:t>The satellite L-/S-band with a UE transmitting at 1610-1626.5MHz and SAN transmitting at 2483.5-2500MHz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agreed to be introduced in Rel-18, currently the </w:t>
            </w:r>
            <w:r>
              <w:rPr>
                <w:rFonts w:hint="eastAsia" w:eastAsia="宋体"/>
                <w:lang w:val="en-US" w:eastAsia="zh-CN"/>
              </w:rPr>
              <w:t xml:space="preserve">UE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RF requirements for </w:t>
            </w:r>
            <w:r>
              <w:rPr>
                <w:rFonts w:hint="eastAsia" w:eastAsia="宋体"/>
                <w:lang w:val="en-US" w:eastAsia="zh-CN"/>
              </w:rPr>
              <w:t>this band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the UE RF requirements for the satellite L-/S-band into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UE RF requirements for the satellite L-/S-band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5.2.2, 5.3.5, 5.4.2.3, 5.4.3.3, 5.4.4, 6.2.1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1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"/>
    <w:p>
      <w:pPr>
        <w:pStyle w:val="2"/>
      </w:pPr>
      <w:bookmarkStart w:id="2" w:name="_Toc97562265"/>
      <w:bookmarkStart w:id="3" w:name="_Toc104503610"/>
      <w:bookmarkStart w:id="4" w:name="_Toc104205443"/>
      <w:bookmarkStart w:id="5" w:name="_Toc106127532"/>
      <w:bookmarkStart w:id="6" w:name="_Toc124256590"/>
      <w:bookmarkStart w:id="7" w:name="_Toc104206650"/>
      <w:bookmarkStart w:id="8" w:name="_Toc104122492"/>
      <w:bookmarkStart w:id="9" w:name="_Toc123057897"/>
      <w:r>
        <w:rPr>
          <w:rFonts w:hint="eastAsia"/>
        </w:rPr>
        <w:t>5</w:t>
      </w:r>
      <w:r>
        <w:tab/>
      </w:r>
      <w:r>
        <w:t>Operating bands and channel arrangement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3"/>
      </w:pPr>
      <w:r>
        <w:rPr>
          <w:rFonts w:hint="eastAsia" w:eastAsia="宋体"/>
          <w:lang w:val="en-US" w:eastAsia="zh-CN"/>
        </w:rPr>
        <w:t xml:space="preserve">5.2 </w:t>
      </w:r>
      <w:r>
        <w:t>Operating bands</w:t>
      </w:r>
    </w:p>
    <w:p>
      <w:pPr>
        <w:pStyle w:val="4"/>
      </w:pPr>
      <w:bookmarkStart w:id="10" w:name="_Toc106127536"/>
      <w:bookmarkStart w:id="11" w:name="_Toc123057901"/>
      <w:bookmarkStart w:id="12" w:name="_Toc97562269"/>
      <w:bookmarkStart w:id="13" w:name="_Toc124256594"/>
      <w:bookmarkStart w:id="14" w:name="_Toc104503614"/>
      <w:bookmarkStart w:id="15" w:name="_Toc104122496"/>
      <w:bookmarkStart w:id="16" w:name="_Toc104205447"/>
      <w:bookmarkStart w:id="17" w:name="_Toc104206654"/>
      <w:r>
        <w:t>5.2.2</w:t>
      </w:r>
      <w:r>
        <w:tab/>
      </w:r>
      <w:r>
        <w:t>Operating bands with conducted requirements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r>
        <w:t>N</w:t>
      </w:r>
      <w:r>
        <w:rPr>
          <w:rFonts w:hint="eastAsia"/>
          <w:lang w:val="en-US"/>
        </w:rPr>
        <w:t>TN</w:t>
      </w:r>
      <w:r>
        <w:t xml:space="preserve"> </w:t>
      </w:r>
      <w:r>
        <w:rPr>
          <w:rFonts w:hint="eastAsia"/>
          <w:lang w:val="en-US"/>
        </w:rPr>
        <w:t xml:space="preserve">satellite </w:t>
      </w:r>
      <w:r>
        <w:t>is designed to operate in the operating bands defined in Table 5.2</w:t>
      </w:r>
      <w:r>
        <w:rPr>
          <w:rFonts w:hint="eastAsia"/>
          <w:lang w:val="en-US"/>
        </w:rPr>
        <w:t>.2</w:t>
      </w:r>
      <w:r>
        <w:t>-1.</w:t>
      </w:r>
    </w:p>
    <w:p>
      <w:pPr>
        <w:pStyle w:val="56"/>
      </w:pPr>
      <w:r>
        <w:rPr>
          <w:bCs/>
        </w:rPr>
        <w:t xml:space="preserve">Table </w:t>
      </w:r>
      <w:r>
        <w:rPr>
          <w:rFonts w:hint="eastAsia"/>
          <w:bCs/>
          <w:lang w:val="en-US"/>
        </w:rPr>
        <w:t>5</w:t>
      </w:r>
      <w:r>
        <w:rPr>
          <w:bCs/>
        </w:rPr>
        <w:t>.2</w:t>
      </w:r>
      <w:r>
        <w:rPr>
          <w:rFonts w:hint="eastAsia"/>
          <w:bCs/>
          <w:lang w:val="en-US"/>
        </w:rPr>
        <w:t>.2</w:t>
      </w:r>
      <w:r>
        <w:rPr>
          <w:bCs/>
        </w:rPr>
        <w:t>-</w:t>
      </w:r>
      <w:r>
        <w:rPr>
          <w:rFonts w:hint="eastAsia"/>
          <w:bCs/>
          <w:lang w:val="en-US"/>
        </w:rPr>
        <w:t>1</w:t>
      </w:r>
      <w:r>
        <w:rPr>
          <w:bCs/>
        </w:rPr>
        <w:t xml:space="preserve">: </w:t>
      </w:r>
      <w:r>
        <w:rPr>
          <w:rFonts w:hint="eastAsia"/>
          <w:bCs/>
          <w:lang w:val="en-US"/>
        </w:rPr>
        <w:t>NTN</w:t>
      </w:r>
      <w:r>
        <w:rPr>
          <w:bCs/>
          <w:lang w:val="en-US"/>
        </w:rPr>
        <w:t xml:space="preserve"> satellite</w:t>
      </w:r>
      <w:r>
        <w:rPr>
          <w:bCs/>
        </w:rPr>
        <w:t xml:space="preserve"> bands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3818"/>
        <w:gridCol w:w="3840"/>
        <w:gridCol w:w="886"/>
        <w:tblGridChange w:id="0">
          <w:tblGrid>
            <w:gridCol w:w="1192"/>
            <w:gridCol w:w="3818"/>
            <w:gridCol w:w="3840"/>
            <w:gridCol w:w="88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2" w:type="dxa"/>
            <w:shd w:val="clear" w:color="auto" w:fill="auto"/>
          </w:tcPr>
          <w:p>
            <w:pPr>
              <w:pStyle w:val="52"/>
            </w:pPr>
            <w:r>
              <w:t>NTN satellite</w:t>
            </w:r>
            <w:r>
              <w:rPr>
                <w:lang w:val="en-US"/>
              </w:rPr>
              <w:t xml:space="preserve"> operating </w:t>
            </w:r>
            <w:r>
              <w:t>band</w:t>
            </w:r>
          </w:p>
        </w:tc>
        <w:tc>
          <w:tcPr>
            <w:tcW w:w="3818" w:type="dxa"/>
            <w:shd w:val="clear" w:color="auto" w:fill="auto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Uplink (UL) operating band</w:t>
            </w:r>
            <w:r>
              <w:rPr>
                <w:lang w:val="en-US"/>
              </w:rPr>
              <w:br w:type="textWrapping"/>
            </w:r>
            <w:r>
              <w:rPr>
                <w:lang w:val="en-US"/>
              </w:rPr>
              <w:t>Satellite Access Node receive / UE transmit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UL,low</w:t>
            </w:r>
            <w:r>
              <w:t xml:space="preserve">   –  F</w:t>
            </w:r>
            <w:r>
              <w:rPr>
                <w:vertAlign w:val="subscript"/>
              </w:rPr>
              <w:t>UL,high</w:t>
            </w:r>
          </w:p>
        </w:tc>
        <w:tc>
          <w:tcPr>
            <w:tcW w:w="3840" w:type="dxa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Downlink (DL) operating band</w:t>
            </w:r>
            <w:r>
              <w:rPr>
                <w:lang w:val="en-US"/>
              </w:rPr>
              <w:br w:type="textWrapping"/>
            </w:r>
            <w:r>
              <w:rPr>
                <w:lang w:val="en-US"/>
              </w:rPr>
              <w:t>Satellite Access Node transmit / UE receive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DL,low</w:t>
            </w:r>
            <w:r>
              <w:t xml:space="preserve">   –  F</w:t>
            </w:r>
            <w:r>
              <w:rPr>
                <w:vertAlign w:val="subscript"/>
              </w:rPr>
              <w:t>DL,high</w:t>
            </w:r>
            <w:r>
              <w:rPr>
                <w:bCs/>
              </w:rPr>
              <w:t xml:space="preserve"> </w:t>
            </w:r>
          </w:p>
        </w:tc>
        <w:tc>
          <w:tcPr>
            <w:tcW w:w="886" w:type="dxa"/>
          </w:tcPr>
          <w:p>
            <w:pPr>
              <w:pStyle w:val="52"/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2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n256</w:t>
            </w:r>
          </w:p>
        </w:tc>
        <w:tc>
          <w:tcPr>
            <w:tcW w:w="3818" w:type="dxa"/>
            <w:shd w:val="clear" w:color="auto" w:fill="auto"/>
          </w:tcPr>
          <w:p>
            <w:pPr>
              <w:pStyle w:val="53"/>
            </w:pPr>
            <w:r>
              <w:t>1980</w:t>
            </w:r>
            <w:r>
              <w:rPr>
                <w:rFonts w:hint="eastAsia"/>
                <w:lang w:val="en-US"/>
              </w:rPr>
              <w:t>MHz</w:t>
            </w:r>
            <w:r>
              <w:t xml:space="preserve"> – 2010 MHz</w:t>
            </w:r>
          </w:p>
        </w:tc>
        <w:tc>
          <w:tcPr>
            <w:tcW w:w="3840" w:type="dxa"/>
          </w:tcPr>
          <w:p>
            <w:pPr>
              <w:pStyle w:val="53"/>
            </w:pPr>
            <w:r>
              <w:t>2170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886" w:type="dxa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2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n255</w:t>
            </w:r>
          </w:p>
        </w:tc>
        <w:tc>
          <w:tcPr>
            <w:tcW w:w="3818" w:type="dxa"/>
            <w:shd w:val="clear" w:color="auto" w:fill="auto"/>
          </w:tcPr>
          <w:p>
            <w:pPr>
              <w:pStyle w:val="53"/>
            </w:pPr>
            <w:r>
              <w:t>1626.5 MHz – 1660.5 MHz</w:t>
            </w:r>
          </w:p>
        </w:tc>
        <w:tc>
          <w:tcPr>
            <w:tcW w:w="3840" w:type="dxa"/>
          </w:tcPr>
          <w:p>
            <w:pPr>
              <w:pStyle w:val="53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886" w:type="dxa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" w:author="ZTE, Wei Lin" w:date="2023-04-05T16:52:01Z"/>
        </w:trPr>
        <w:tc>
          <w:tcPr>
            <w:tcW w:w="1192" w:type="dxa"/>
            <w:shd w:val="clear" w:color="auto" w:fill="auto"/>
          </w:tcPr>
          <w:p>
            <w:pPr>
              <w:pStyle w:val="53"/>
              <w:rPr>
                <w:ins w:id="2" w:author="ZTE, Wei Lin" w:date="2023-04-05T16:52:01Z"/>
                <w:rFonts w:hint="default" w:eastAsia="宋体"/>
                <w:lang w:val="en-US" w:eastAsia="zh-CN"/>
              </w:rPr>
            </w:pPr>
            <w:ins w:id="3" w:author="ZTE, Wei Lin" w:date="2023-04-05T16:52:0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" w:author="ZTE, Wei Lin" w:date="2023-04-05T16:52:0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" w:author="ZTE, Wei Lin" w:date="2023-04-05T16:52:10Z">
              <w:r>
                <w:rPr>
                  <w:rFonts w:hint="eastAsia" w:eastAsia="宋体"/>
                  <w:lang w:val="en-US" w:eastAsia="zh-CN"/>
                </w:rPr>
                <w:t>54</w:t>
              </w:r>
            </w:ins>
          </w:p>
        </w:tc>
        <w:tc>
          <w:tcPr>
            <w:tcW w:w="3818" w:type="dxa"/>
            <w:shd w:val="clear" w:color="auto" w:fill="auto"/>
          </w:tcPr>
          <w:p>
            <w:pPr>
              <w:pStyle w:val="53"/>
              <w:rPr>
                <w:ins w:id="6" w:author="ZTE, Wei Lin" w:date="2023-04-05T16:52:01Z"/>
              </w:rPr>
            </w:pPr>
            <w:ins w:id="7" w:author="ZTE, Wei Lin" w:date="2023-04-05T16:52:38Z">
              <w:r>
                <w:rPr>
                  <w:rFonts w:hint="eastAsia"/>
                </w:rPr>
                <w:t>1610 MHz</w:t>
              </w:r>
            </w:ins>
            <w:ins w:id="8" w:author="ZTE, Wei Lin" w:date="2023-04-08T11:04:1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" w:author="ZTE, Wei Lin" w:date="2023-04-08T11:04:48Z">
              <w:r>
                <w:rPr/>
                <w:t>–</w:t>
              </w:r>
            </w:ins>
            <w:ins w:id="10" w:author="ZTE, Wei Lin" w:date="2023-04-08T11:04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" w:author="ZTE, Wei Lin" w:date="2023-04-05T16:52:38Z">
              <w:r>
                <w:rPr>
                  <w:rFonts w:hint="eastAsia"/>
                </w:rPr>
                <w:t>1626.5</w:t>
              </w:r>
            </w:ins>
            <w:ins w:id="12" w:author="ZTE, Wei Lin" w:date="2023-04-08T11:03:4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" w:author="ZTE, Wei Lin" w:date="2023-04-05T16:52:38Z">
              <w:r>
                <w:rPr>
                  <w:rFonts w:hint="eastAsia"/>
                </w:rPr>
                <w:t>MHz</w:t>
              </w:r>
            </w:ins>
          </w:p>
        </w:tc>
        <w:tc>
          <w:tcPr>
            <w:tcW w:w="3840" w:type="dxa"/>
          </w:tcPr>
          <w:p>
            <w:pPr>
              <w:pStyle w:val="53"/>
              <w:rPr>
                <w:ins w:id="14" w:author="ZTE, Wei Lin" w:date="2023-04-05T16:52:01Z"/>
              </w:rPr>
            </w:pPr>
            <w:ins w:id="15" w:author="ZTE, Wei Lin" w:date="2023-04-05T16:52:48Z">
              <w:r>
                <w:rPr>
                  <w:rFonts w:hint="eastAsia"/>
                </w:rPr>
                <w:t>2483.5</w:t>
              </w:r>
            </w:ins>
            <w:ins w:id="16" w:author="ZTE, Wei Lin" w:date="2023-04-05T16:52:48Z">
              <w:r>
                <w:rPr>
                  <w:rFonts w:hint="eastAsia" w:eastAsia="宋体"/>
                  <w:lang w:val="en-US" w:eastAsia="zh-CN"/>
                </w:rPr>
                <w:t>MHz</w:t>
              </w:r>
            </w:ins>
            <w:ins w:id="17" w:author="ZTE, Wei Lin" w:date="2023-04-08T11:04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" w:author="ZTE, Wei Lin" w:date="2023-04-08T11:04:44Z">
              <w:r>
                <w:rPr/>
                <w:t>–</w:t>
              </w:r>
            </w:ins>
            <w:ins w:id="19" w:author="ZTE, Wei Lin" w:date="2023-04-08T11:04:2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" w:author="ZTE, Wei Lin" w:date="2023-04-05T16:52:48Z">
              <w:r>
                <w:rPr>
                  <w:rFonts w:hint="eastAsia"/>
                </w:rPr>
                <w:t>2500</w:t>
              </w:r>
            </w:ins>
            <w:ins w:id="21" w:author="ZTE, Wei Lin" w:date="2023-04-08T11:03:5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" w:author="ZTE, Wei Lin" w:date="2023-04-05T16:52:48Z">
              <w:r>
                <w:rPr>
                  <w:rFonts w:hint="eastAsia"/>
                </w:rPr>
                <w:t>MHz</w:t>
              </w:r>
            </w:ins>
          </w:p>
        </w:tc>
        <w:tc>
          <w:tcPr>
            <w:tcW w:w="886" w:type="dxa"/>
          </w:tcPr>
          <w:p>
            <w:pPr>
              <w:pStyle w:val="53"/>
              <w:rPr>
                <w:ins w:id="23" w:author="ZTE, Wei Lin" w:date="2023-04-05T16:52:01Z"/>
                <w:rFonts w:hint="default" w:eastAsia="宋体"/>
                <w:lang w:val="en-US" w:eastAsia="zh-CN"/>
              </w:rPr>
            </w:pPr>
            <w:ins w:id="24" w:author="ZTE, Wei Lin" w:date="2023-04-05T16:52:51Z">
              <w:r>
                <w:rPr>
                  <w:rFonts w:hint="eastAsia" w:eastAsia="宋体"/>
                  <w:lang w:val="en-US" w:eastAsia="zh-CN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" w:author="ZTE, Wei Lin" w:date="2023-04-06T10:42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trPrChange w:id="25" w:author="ZTE, Wei Lin" w:date="2023-04-06T10:42:25Z">
            <w:trPr>
              <w:jc w:val="center"/>
            </w:trPr>
          </w:trPrChange>
        </w:trPr>
        <w:tc>
          <w:tcPr>
            <w:tcW w:w="9736" w:type="dxa"/>
            <w:gridSpan w:val="4"/>
            <w:shd w:val="clear" w:color="auto" w:fill="auto"/>
            <w:tcPrChange w:id="26" w:author="ZTE, Wei Lin" w:date="2023-04-06T10:42:25Z">
              <w:tcPr>
                <w:tcW w:w="9736" w:type="dxa"/>
                <w:gridSpan w:val="4"/>
                <w:shd w:val="clear" w:color="auto" w:fill="auto"/>
              </w:tcPr>
            </w:tcPrChange>
          </w:tcPr>
          <w:p>
            <w:pPr>
              <w:pStyle w:val="67"/>
              <w:rPr>
                <w:b/>
                <w:lang w:eastAsia="ja-JP"/>
              </w:rPr>
            </w:pPr>
            <w:r>
              <w:rPr>
                <w:rFonts w:hint="eastAsia"/>
              </w:rPr>
              <w:t>NOTE:</w:t>
            </w:r>
            <w:r>
              <w:t xml:space="preserve"> </w:t>
            </w:r>
            <w:r>
              <w:tab/>
            </w:r>
            <w:r>
              <w:rPr>
                <w:rFonts w:hint="eastAsia"/>
              </w:rPr>
              <w:t xml:space="preserve">NTN </w:t>
            </w:r>
            <w:r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/>
    <w:p>
      <w:pPr>
        <w:pStyle w:val="3"/>
        <w:rPr>
          <w:lang w:eastAsia="en-US"/>
        </w:rPr>
      </w:pPr>
      <w:bookmarkStart w:id="18" w:name="_Toc104205449"/>
      <w:bookmarkStart w:id="19" w:name="_Toc97562271"/>
      <w:bookmarkStart w:id="20" w:name="_Toc106127538"/>
      <w:bookmarkStart w:id="21" w:name="_Toc104122498"/>
      <w:bookmarkStart w:id="22" w:name="_Toc104206656"/>
      <w:bookmarkStart w:id="23" w:name="_Toc123057903"/>
      <w:bookmarkStart w:id="24" w:name="_Toc104503616"/>
      <w:bookmarkStart w:id="25" w:name="_Toc124256596"/>
      <w:bookmarkStart w:id="26" w:name="_Toc36107473"/>
      <w:bookmarkStart w:id="27" w:name="_Toc84404831"/>
      <w:bookmarkStart w:id="28" w:name="_Toc76509022"/>
      <w:bookmarkStart w:id="29" w:name="_Toc29802106"/>
      <w:bookmarkStart w:id="30" w:name="_Toc106127543"/>
      <w:bookmarkStart w:id="31" w:name="_Toc75467000"/>
      <w:bookmarkStart w:id="32" w:name="_Toc29801682"/>
      <w:bookmarkStart w:id="33" w:name="_Toc45888617"/>
      <w:bookmarkStart w:id="34" w:name="_Toc61367257"/>
      <w:bookmarkStart w:id="35" w:name="_Toc29802731"/>
      <w:bookmarkStart w:id="36" w:name="_Toc69083993"/>
      <w:bookmarkStart w:id="37" w:name="_Toc84413440"/>
      <w:bookmarkStart w:id="38" w:name="_Toc61372640"/>
      <w:bookmarkStart w:id="39" w:name="_Toc83580322"/>
      <w:bookmarkStart w:id="40" w:name="_Toc123057908"/>
      <w:bookmarkStart w:id="41" w:name="_Toc45888018"/>
      <w:bookmarkStart w:id="42" w:name="_Toc124256601"/>
      <w:bookmarkStart w:id="43" w:name="_Toc37251232"/>
      <w:bookmarkStart w:id="44" w:name="_Toc21344198"/>
      <w:bookmarkStart w:id="45" w:name="_Toc68230580"/>
      <w:bookmarkStart w:id="46" w:name="_Toc76718012"/>
      <w:r>
        <w:t>5.3</w:t>
      </w:r>
      <w:r>
        <w:tab/>
      </w:r>
      <w:r>
        <w:t>UE channel bandwidth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4"/>
        <w:rPr>
          <w:lang w:eastAsia="en-US"/>
        </w:rPr>
      </w:pPr>
      <w:r>
        <w:rPr>
          <w:lang w:eastAsia="en-US"/>
        </w:rPr>
        <w:t>5.3.5</w:t>
      </w:r>
      <w:r>
        <w:rPr>
          <w:lang w:eastAsia="en-US"/>
        </w:rPr>
        <w:tab/>
      </w:r>
      <w:r>
        <w:rPr>
          <w:lang w:eastAsia="en-US"/>
        </w:rPr>
        <w:t>UE channel bandwidth per operating band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rPr>
          <w:rFonts w:eastAsia="Yu Mincho"/>
          <w:lang w:eastAsia="en-US"/>
        </w:rPr>
      </w:pPr>
      <w:r>
        <w:rPr>
          <w:rFonts w:eastAsia="Yu Mincho"/>
          <w:lang w:eastAsia="en-US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>
      <w:pPr>
        <w:pStyle w:val="56"/>
        <w:rPr>
          <w:lang w:eastAsia="en-US"/>
        </w:rPr>
      </w:pPr>
      <w:r>
        <w:rPr>
          <w:lang w:eastAsia="en-US"/>
        </w:rPr>
        <w:t>Table 5.3.5-1: Channel bandwidths for each NTN satellite band</w:t>
      </w:r>
    </w:p>
    <w:tbl>
      <w:tblPr>
        <w:tblStyle w:val="43"/>
        <w:tblW w:w="71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132"/>
        <w:gridCol w:w="1132"/>
        <w:gridCol w:w="1132"/>
        <w:gridCol w:w="1133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NTN satellite band</w:t>
            </w:r>
          </w:p>
        </w:tc>
        <w:tc>
          <w:tcPr>
            <w:tcW w:w="1132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52"/>
            </w:pPr>
            <w:r>
              <w:t>SCS</w:t>
            </w:r>
          </w:p>
          <w:p>
            <w:pPr>
              <w:pStyle w:val="52"/>
              <w:rPr>
                <w:rFonts w:eastAsia="Yu Mincho"/>
              </w:rPr>
            </w:pPr>
            <w:r>
              <w:t>kHz</w:t>
            </w:r>
          </w:p>
        </w:tc>
        <w:tc>
          <w:tcPr>
            <w:tcW w:w="4530" w:type="dxa"/>
            <w:gridSpan w:val="4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U</w:t>
            </w:r>
            <w:r>
              <w:rPr>
                <w:rFonts w:eastAsiaTheme="minorEastAsia"/>
              </w:rPr>
              <w:t>E 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113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1132" w:type="dxa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1132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1133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1133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auto" w:sz="4" w:space="0"/>
              <w:bottom w:val="single" w:color="FFFFFF" w:themeColor="background1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132" w:type="dxa"/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1132" w:type="dxa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1132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1133" w:type="dxa"/>
          </w:tcPr>
          <w:p>
            <w:pPr>
              <w:pStyle w:val="53"/>
            </w:pPr>
            <w:r>
              <w:t>15</w:t>
            </w:r>
          </w:p>
        </w:tc>
        <w:tc>
          <w:tcPr>
            <w:tcW w:w="1133" w:type="dxa"/>
          </w:tcPr>
          <w:p>
            <w:pPr>
              <w:pStyle w:val="53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/>
              </w:rPr>
              <w:t>n25</w:t>
            </w:r>
            <w:r>
              <w:rPr>
                <w:lang w:val="en-US"/>
              </w:rPr>
              <w:t>6</w:t>
            </w:r>
          </w:p>
        </w:tc>
        <w:tc>
          <w:tcPr>
            <w:tcW w:w="1132" w:type="dxa"/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1132" w:type="dxa"/>
          </w:tcPr>
          <w:p>
            <w:pPr>
              <w:pStyle w:val="53"/>
            </w:pPr>
          </w:p>
        </w:tc>
        <w:tc>
          <w:tcPr>
            <w:tcW w:w="1132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1133" w:type="dxa"/>
          </w:tcPr>
          <w:p>
            <w:pPr>
              <w:pStyle w:val="53"/>
            </w:pPr>
            <w:r>
              <w:t>15</w:t>
            </w:r>
          </w:p>
        </w:tc>
        <w:tc>
          <w:tcPr>
            <w:tcW w:w="1133" w:type="dxa"/>
          </w:tcPr>
          <w:p>
            <w:pPr>
              <w:pStyle w:val="53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FFFFFF" w:themeColor="background1" w:sz="4" w:space="0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132" w:type="dxa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1132" w:type="dxa"/>
          </w:tcPr>
          <w:p>
            <w:pPr>
              <w:pStyle w:val="53"/>
            </w:pPr>
          </w:p>
        </w:tc>
        <w:tc>
          <w:tcPr>
            <w:tcW w:w="1132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1133" w:type="dxa"/>
          </w:tcPr>
          <w:p>
            <w:pPr>
              <w:pStyle w:val="53"/>
            </w:pPr>
            <w:r>
              <w:t>15</w:t>
            </w:r>
          </w:p>
        </w:tc>
        <w:tc>
          <w:tcPr>
            <w:tcW w:w="1133" w:type="dxa"/>
          </w:tcPr>
          <w:p>
            <w:pPr>
              <w:pStyle w:val="53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132" w:type="dxa"/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1132" w:type="dxa"/>
          </w:tcPr>
          <w:p>
            <w:pPr>
              <w:pStyle w:val="53"/>
            </w:pPr>
            <w:r>
              <w:t>5</w:t>
            </w:r>
          </w:p>
        </w:tc>
        <w:tc>
          <w:tcPr>
            <w:tcW w:w="1132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1133" w:type="dxa"/>
          </w:tcPr>
          <w:p>
            <w:pPr>
              <w:pStyle w:val="53"/>
            </w:pPr>
            <w:r>
              <w:t>15</w:t>
            </w:r>
          </w:p>
        </w:tc>
        <w:tc>
          <w:tcPr>
            <w:tcW w:w="1133" w:type="dxa"/>
          </w:tcPr>
          <w:p>
            <w:pPr>
              <w:pStyle w:val="53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/>
              </w:rPr>
              <w:t>n25</w:t>
            </w:r>
            <w:r>
              <w:rPr>
                <w:lang w:val="en-US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1132" w:type="dxa"/>
          </w:tcPr>
          <w:p>
            <w:pPr>
              <w:pStyle w:val="53"/>
            </w:pPr>
          </w:p>
        </w:tc>
        <w:tc>
          <w:tcPr>
            <w:tcW w:w="1132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1133" w:type="dxa"/>
          </w:tcPr>
          <w:p>
            <w:pPr>
              <w:pStyle w:val="53"/>
            </w:pPr>
            <w:r>
              <w:t>15</w:t>
            </w:r>
          </w:p>
        </w:tc>
        <w:tc>
          <w:tcPr>
            <w:tcW w:w="1133" w:type="dxa"/>
          </w:tcPr>
          <w:p>
            <w:pPr>
              <w:pStyle w:val="53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1132" w:type="dxa"/>
          </w:tcPr>
          <w:p>
            <w:pPr>
              <w:pStyle w:val="53"/>
            </w:pPr>
          </w:p>
        </w:tc>
        <w:tc>
          <w:tcPr>
            <w:tcW w:w="1132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1133" w:type="dxa"/>
          </w:tcPr>
          <w:p>
            <w:pPr>
              <w:pStyle w:val="53"/>
            </w:pPr>
            <w:r>
              <w:t>15</w:t>
            </w:r>
          </w:p>
        </w:tc>
        <w:tc>
          <w:tcPr>
            <w:tcW w:w="1133" w:type="dxa"/>
          </w:tcPr>
          <w:p>
            <w:pPr>
              <w:pStyle w:val="53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pStyle w:val="53"/>
              <w:spacing w:line="240" w:lineRule="auto"/>
              <w:rPr>
                <w:lang w:val="en-US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7" w:author="ZTE, Wei Lin" w:date="2023-04-05T16:55:42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132" w:type="dxa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28" w:author="ZTE, Wei Lin" w:date="2023-04-05T16:55:4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132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9" w:author="ZTE, Wei Lin" w:date="2023-04-05T16:55:5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30" w:author="ZTE, Wei Lin" w:date="2023-04-05T16:55:5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133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1" w:author="ZTE, Wei Lin" w:date="2023-04-05T16:55:54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  <w:spacing w:line="240" w:lineRule="auto"/>
              <w:rPr>
                <w:rFonts w:hint="default" w:eastAsia="宋体"/>
                <w:lang w:val="en-US" w:eastAsia="zh-CN"/>
              </w:rPr>
            </w:pPr>
            <w:ins w:id="32" w:author="ZTE, Wei Lin" w:date="2023-04-05T16:55:24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3" w:author="ZTE, Wei Lin" w:date="2023-04-05T16:55:25Z">
              <w:r>
                <w:rPr>
                  <w:rFonts w:hint="eastAsia" w:eastAsia="宋体"/>
                  <w:lang w:val="en-US" w:eastAsia="zh-CN"/>
                </w:rPr>
                <w:t>254</w:t>
              </w:r>
            </w:ins>
          </w:p>
        </w:tc>
        <w:tc>
          <w:tcPr>
            <w:tcW w:w="1132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4" w:author="ZTE, Wei Lin" w:date="2023-04-05T16:55:44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1132" w:type="dxa"/>
          </w:tcPr>
          <w:p>
            <w:pPr>
              <w:pStyle w:val="53"/>
            </w:pPr>
          </w:p>
        </w:tc>
        <w:tc>
          <w:tcPr>
            <w:tcW w:w="1132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5" w:author="ZTE, Wei Lin" w:date="2023-04-05T16:55:59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1133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6" w:author="ZTE, Wei Lin" w:date="2023-04-05T16:55:56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nil"/>
            </w:tcBorders>
            <w:vAlign w:val="center"/>
          </w:tcPr>
          <w:p>
            <w:pPr>
              <w:pStyle w:val="53"/>
              <w:spacing w:line="240" w:lineRule="auto"/>
              <w:rPr>
                <w:lang w:val="en-US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7" w:author="ZTE, Wei Lin" w:date="2023-04-05T16:55:45Z">
              <w:r>
                <w:rPr>
                  <w:rFonts w:hint="eastAsia" w:eastAsia="宋体"/>
                  <w:lang w:val="en-US" w:eastAsia="zh-CN"/>
                </w:rPr>
                <w:t>60</w:t>
              </w:r>
            </w:ins>
          </w:p>
        </w:tc>
        <w:tc>
          <w:tcPr>
            <w:tcW w:w="1132" w:type="dxa"/>
          </w:tcPr>
          <w:p>
            <w:pPr>
              <w:pStyle w:val="53"/>
            </w:pPr>
          </w:p>
        </w:tc>
        <w:tc>
          <w:tcPr>
            <w:tcW w:w="1132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8" w:author="ZTE, Wei Lin" w:date="2023-04-05T16:56:0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1133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9" w:author="ZTE, Wei Lin" w:date="2023-04-05T16:56:0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133" w:type="dxa"/>
          </w:tcPr>
          <w:p>
            <w:pPr>
              <w:pStyle w:val="53"/>
            </w:pPr>
          </w:p>
        </w:tc>
      </w:tr>
    </w:tbl>
    <w:p>
      <w:pPr>
        <w:outlineLvl w:val="9"/>
        <w:rPr>
          <w:rFonts w:hint="eastAsia" w:eastAsia="宋体"/>
          <w:lang w:val="en-US" w:eastAsia="zh-CN"/>
        </w:rPr>
      </w:pPr>
    </w:p>
    <w:p>
      <w:pPr>
        <w:pStyle w:val="3"/>
      </w:pPr>
      <w:bookmarkStart w:id="47" w:name="_Toc106127544"/>
      <w:bookmarkStart w:id="48" w:name="_Toc104205450"/>
      <w:bookmarkStart w:id="49" w:name="_Toc97562272"/>
      <w:bookmarkStart w:id="50" w:name="_Toc124256602"/>
      <w:bookmarkStart w:id="51" w:name="_Toc104206657"/>
      <w:bookmarkStart w:id="52" w:name="_Toc104122499"/>
      <w:bookmarkStart w:id="53" w:name="_Toc123057909"/>
      <w:bookmarkStart w:id="54" w:name="_Toc104503617"/>
      <w:bookmarkStart w:id="55" w:name="_Toc61178824"/>
      <w:bookmarkStart w:id="56" w:name="_Toc53178147"/>
      <w:bookmarkStart w:id="57" w:name="_Toc61179294"/>
      <w:bookmarkStart w:id="58" w:name="_Toc123044102"/>
      <w:bookmarkStart w:id="59" w:name="_Toc45893420"/>
      <w:bookmarkStart w:id="60" w:name="_Toc106126677"/>
      <w:bookmarkStart w:id="61" w:name="_Toc67916590"/>
      <w:bookmarkStart w:id="62" w:name="_Toc82621728"/>
      <w:bookmarkStart w:id="63" w:name="_Toc90422575"/>
      <w:bookmarkStart w:id="64" w:name="_Toc37267505"/>
      <w:bookmarkStart w:id="65" w:name="_Toc124157741"/>
      <w:bookmarkStart w:id="66" w:name="_Toc44712107"/>
      <w:bookmarkStart w:id="67" w:name="_Toc106176990"/>
      <w:bookmarkStart w:id="68" w:name="_Toc36817201"/>
      <w:bookmarkStart w:id="69" w:name="_Toc29811649"/>
      <w:bookmarkStart w:id="70" w:name="_Toc104310977"/>
      <w:bookmarkStart w:id="71" w:name="_Toc114242158"/>
      <w:bookmarkStart w:id="72" w:name="_Toc124259664"/>
      <w:bookmarkStart w:id="73" w:name="_Toc21127442"/>
      <w:bookmarkStart w:id="74" w:name="_Toc53178598"/>
      <w:bookmarkStart w:id="75" w:name="_Toc37260117"/>
      <w:bookmarkStart w:id="76" w:name="_Toc74663188"/>
      <w:r>
        <w:t>5.4</w:t>
      </w:r>
      <w:r>
        <w:tab/>
      </w:r>
      <w:r>
        <w:t>Channel arrangement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pStyle w:val="4"/>
        <w:rPr>
          <w:lang w:eastAsia="en-US"/>
        </w:rPr>
      </w:pPr>
      <w:bookmarkStart w:id="77" w:name="_Toc61367271"/>
      <w:bookmarkStart w:id="78" w:name="_Toc68230594"/>
      <w:bookmarkStart w:id="79" w:name="_Toc124256605"/>
      <w:bookmarkStart w:id="80" w:name="_Toc36107484"/>
      <w:bookmarkStart w:id="81" w:name="_Toc84413454"/>
      <w:bookmarkStart w:id="82" w:name="_Toc83580336"/>
      <w:bookmarkStart w:id="83" w:name="_Toc61372654"/>
      <w:bookmarkStart w:id="84" w:name="_Toc76718026"/>
      <w:bookmarkStart w:id="85" w:name="_Toc76509036"/>
      <w:bookmarkStart w:id="86" w:name="_Toc45888631"/>
      <w:bookmarkStart w:id="87" w:name="_Toc21344209"/>
      <w:bookmarkStart w:id="88" w:name="_Toc29802742"/>
      <w:bookmarkStart w:id="89" w:name="_Toc123057912"/>
      <w:bookmarkStart w:id="90" w:name="_Toc69084007"/>
      <w:bookmarkStart w:id="91" w:name="_Toc45888032"/>
      <w:bookmarkStart w:id="92" w:name="_Toc106127547"/>
      <w:bookmarkStart w:id="93" w:name="_Toc29802117"/>
      <w:bookmarkStart w:id="94" w:name="_Toc84404845"/>
      <w:bookmarkStart w:id="95" w:name="_Toc75467014"/>
      <w:bookmarkStart w:id="96" w:name="_Toc29801693"/>
      <w:bookmarkStart w:id="97" w:name="_Toc37251243"/>
      <w:r>
        <w:rPr>
          <w:lang w:eastAsia="en-US"/>
        </w:rPr>
        <w:t>5.4.2</w:t>
      </w:r>
      <w:r>
        <w:rPr>
          <w:lang w:eastAsia="en-US"/>
        </w:rPr>
        <w:tab/>
      </w:r>
      <w:r>
        <w:rPr>
          <w:rFonts w:hint="eastAsia"/>
          <w:lang w:eastAsia="en-US"/>
        </w:rPr>
        <w:t xml:space="preserve">Channel </w:t>
      </w:r>
      <w:r>
        <w:rPr>
          <w:lang w:eastAsia="en-US"/>
        </w:rPr>
        <w:t>r</w:t>
      </w:r>
      <w:r>
        <w:rPr>
          <w:rFonts w:hint="eastAsia"/>
          <w:lang w:eastAsia="en-US"/>
        </w:rPr>
        <w:t>aster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>
      <w:pPr>
        <w:pStyle w:val="5"/>
      </w:pPr>
      <w:bookmarkStart w:id="98" w:name="_Toc131734921"/>
      <w:bookmarkStart w:id="99" w:name="_Toc97562275"/>
      <w:bookmarkStart w:id="100" w:name="_Toc37251246"/>
      <w:bookmarkStart w:id="101" w:name="_Toc68230597"/>
      <w:bookmarkStart w:id="102" w:name="_Toc45888634"/>
      <w:bookmarkStart w:id="103" w:name="_Toc29801696"/>
      <w:bookmarkStart w:id="104" w:name="_Toc104503620"/>
      <w:bookmarkStart w:id="105" w:name="_Toc36107487"/>
      <w:bookmarkStart w:id="106" w:name="_Toc83580339"/>
      <w:bookmarkStart w:id="107" w:name="_Toc29802745"/>
      <w:bookmarkStart w:id="108" w:name="_Toc75467017"/>
      <w:bookmarkStart w:id="109" w:name="_Toc61367274"/>
      <w:bookmarkStart w:id="110" w:name="_Toc21344212"/>
      <w:bookmarkStart w:id="111" w:name="_Toc76718029"/>
      <w:bookmarkStart w:id="112" w:name="_Toc76509039"/>
      <w:bookmarkStart w:id="113" w:name="_Toc104206660"/>
      <w:bookmarkStart w:id="114" w:name="_Toc84404848"/>
      <w:bookmarkStart w:id="115" w:name="_Toc29802120"/>
      <w:bookmarkStart w:id="116" w:name="_Toc61372657"/>
      <w:bookmarkStart w:id="117" w:name="_Toc124256608"/>
      <w:bookmarkStart w:id="118" w:name="_Toc84413457"/>
      <w:bookmarkStart w:id="119" w:name="_Toc45888035"/>
      <w:bookmarkStart w:id="120" w:name="_Toc123057915"/>
      <w:bookmarkStart w:id="121" w:name="_Toc104122502"/>
      <w:bookmarkStart w:id="122" w:name="_Toc69084010"/>
      <w:bookmarkStart w:id="123" w:name="_Toc104205453"/>
      <w:bookmarkStart w:id="124" w:name="_Toc106127550"/>
      <w:r>
        <w:t>5.4.2.3</w:t>
      </w:r>
      <w:r>
        <w:tab/>
      </w:r>
      <w:r>
        <w:t>Channel raster entries for each operating band</w:t>
      </w:r>
      <w:bookmarkEnd w:id="98"/>
    </w:p>
    <w:p>
      <w:pPr>
        <w:rPr>
          <w:rFonts w:eastAsia="Yu Mincho"/>
          <w:lang w:eastAsia="en-US"/>
        </w:rPr>
      </w:pPr>
      <w:r>
        <w:rPr>
          <w:rFonts w:eastAsia="Yu Mincho"/>
          <w:lang w:eastAsia="en-US"/>
        </w:rPr>
        <w:t>The RF channel positions on the channel raster in each NTN satellite operating band are given through the applicable NR-ARFCN in Table 5.4.2.3</w:t>
      </w:r>
      <w:r>
        <w:rPr>
          <w:rFonts w:eastAsia="Yu Mincho"/>
          <w:lang w:eastAsia="en-US"/>
        </w:rPr>
        <w:noBreakHyphen/>
      </w:r>
      <w:r>
        <w:rPr>
          <w:rFonts w:eastAsia="Yu Mincho"/>
          <w:lang w:eastAsia="en-US"/>
        </w:rPr>
        <w:t>1, using the channel raster to resource element mapping in clause 5.4.2.2.</w:t>
      </w:r>
    </w:p>
    <w:p>
      <w:p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For NTN satellite operating bands with 100 kHz channel raster, ΔF</w:t>
      </w:r>
      <w:r>
        <w:rPr>
          <w:rFonts w:eastAsia="Times New Roman"/>
          <w:vertAlign w:val="subscript"/>
          <w:lang w:eastAsia="en-US"/>
        </w:rPr>
        <w:t>Raster</w:t>
      </w:r>
      <w:r>
        <w:rPr>
          <w:rFonts w:eastAsia="Times New Roman"/>
          <w:lang w:eastAsia="en-US"/>
        </w:rPr>
        <w:t xml:space="preserve"> = 20 × ΔF</w:t>
      </w:r>
      <w:r>
        <w:rPr>
          <w:rFonts w:eastAsia="Times New Roman"/>
          <w:vertAlign w:val="subscript"/>
          <w:lang w:eastAsia="en-US"/>
        </w:rPr>
        <w:t>Global</w:t>
      </w:r>
      <w:r>
        <w:rPr>
          <w:rFonts w:eastAsia="Times New Roman"/>
          <w:lang w:eastAsia="en-US"/>
        </w:rPr>
        <w:t>. In this case every 20</w:t>
      </w:r>
      <w:r>
        <w:rPr>
          <w:rFonts w:eastAsia="Times New Roman"/>
          <w:vertAlign w:val="superscript"/>
          <w:lang w:eastAsia="en-US"/>
        </w:rPr>
        <w:t>th</w:t>
      </w:r>
      <w:r>
        <w:rPr>
          <w:rFonts w:eastAsia="Times New Roman"/>
          <w:lang w:eastAsia="en-US"/>
        </w:rPr>
        <w:t xml:space="preserve"> NR-ARFCN within the operating band are applicable for the channel raster within the operating band and the step size for the channel raster in Table 5.4.2.3</w:t>
      </w:r>
      <w:r>
        <w:rPr>
          <w:rFonts w:eastAsia="Times New Roman"/>
          <w:lang w:eastAsia="en-US"/>
        </w:rPr>
        <w:noBreakHyphen/>
      </w:r>
      <w:r>
        <w:rPr>
          <w:rFonts w:eastAsia="Times New Roman"/>
          <w:lang w:eastAsia="en-US"/>
        </w:rPr>
        <w:t>1 is given as &lt;20&gt;.</w:t>
      </w:r>
    </w:p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p>
      <w:pPr>
        <w:pStyle w:val="56"/>
        <w:rPr>
          <w:lang w:eastAsia="en-US"/>
        </w:rPr>
      </w:pPr>
      <w:r>
        <w:rPr>
          <w:lang w:eastAsia="en-US"/>
        </w:rPr>
        <w:t>Table 5.4.2.3-1: Applicable NR-ARFCN per operating band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NTN satellite operating band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ΔF</w:t>
            </w:r>
            <w:r>
              <w:rPr>
                <w:vertAlign w:val="subscript"/>
                <w:lang w:eastAsia="en-US"/>
              </w:rPr>
              <w:t>Raster</w:t>
            </w:r>
          </w:p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(kHz)</w:t>
            </w:r>
            <w:r>
              <w:rPr>
                <w:vertAlign w:val="subscript"/>
                <w:lang w:eastAsia="en-US"/>
              </w:rPr>
              <w:t xml:space="preserve"> 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Uplink</w:t>
            </w:r>
          </w:p>
          <w:p>
            <w:pPr>
              <w:pStyle w:val="52"/>
              <w:rPr>
                <w:rFonts w:eastAsia="Yu Mincho"/>
                <w:vertAlign w:val="subscript"/>
                <w:lang w:eastAsia="en-US"/>
              </w:rPr>
            </w:pPr>
            <w:r>
              <w:rPr>
                <w:rFonts w:eastAsia="Yu Mincho"/>
                <w:lang w:eastAsia="en-US"/>
              </w:rPr>
              <w:t>Range of N</w:t>
            </w:r>
            <w:r>
              <w:rPr>
                <w:rFonts w:eastAsia="Yu Mincho"/>
                <w:vertAlign w:val="subscript"/>
                <w:lang w:eastAsia="en-US"/>
              </w:rPr>
              <w:t>REF</w:t>
            </w:r>
          </w:p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Downlink</w:t>
            </w:r>
          </w:p>
          <w:p>
            <w:pPr>
              <w:pStyle w:val="52"/>
              <w:rPr>
                <w:rFonts w:eastAsia="Yu Mincho"/>
                <w:vertAlign w:val="subscript"/>
                <w:lang w:eastAsia="en-US"/>
              </w:rPr>
            </w:pPr>
            <w:r>
              <w:rPr>
                <w:rFonts w:eastAsia="Yu Mincho"/>
                <w:lang w:eastAsia="en-US"/>
              </w:rPr>
              <w:t>Range of N</w:t>
            </w:r>
            <w:r>
              <w:rPr>
                <w:rFonts w:eastAsia="Yu Mincho"/>
                <w:vertAlign w:val="subscript"/>
                <w:lang w:eastAsia="en-US"/>
              </w:rPr>
              <w:t>REF</w:t>
            </w:r>
          </w:p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n256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396000 – &lt;20&gt; – 402000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434000 – &lt;20&gt; – 440000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n255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325300 – &lt;20&gt; – 332100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305000 – &lt;20&gt; – 311800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40" w:author="ZTE, Wei Lin" w:date="2023-04-05T16:58:36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1" w:author="ZTE, Wei Lin" w:date="2023-04-05T16:58:33Z">
              <w:r>
                <w:rPr>
                  <w:rFonts w:hint="eastAsia" w:eastAsia="宋体"/>
                  <w:lang w:val="en-US" w:eastAsia="zh-CN"/>
                </w:rPr>
                <w:t>254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42" w:author="ZTE, Wei Lin" w:date="2023-04-05T16:58:39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ins w:id="43" w:author="ZTE, Wei Lin" w:date="2023-04-05T16:58:51Z">
              <w:r>
                <w:rPr>
                  <w:rFonts w:hint="eastAsia"/>
                  <w:lang w:eastAsia="en-US"/>
                </w:rPr>
                <w:t>322000 – &lt;20&gt; – 325300</w:t>
              </w:r>
            </w:ins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ins w:id="44" w:author="ZTE, Wei Lin" w:date="2023-04-05T16:59:04Z">
              <w:r>
                <w:rPr>
                  <w:rFonts w:hint="eastAsia"/>
                  <w:lang w:eastAsia="en-US"/>
                </w:rPr>
                <w:t>496700 – &lt;20&gt; – 500000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en-US"/>
              </w:rPr>
            </w:pPr>
            <w:r>
              <w:t>NOTE :</w:t>
            </w:r>
            <w:r>
              <w:tab/>
            </w:r>
            <w:r>
              <w:t>The channel numbers that designate carrier frequencies so close to the operating band edges that the carrier extends beyond the operating band edge shall not be used.</w:t>
            </w:r>
          </w:p>
        </w:tc>
      </w:t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tbl>
    <w:p>
      <w:pPr>
        <w:rPr>
          <w:rFonts w:cs="v4.2.0"/>
        </w:rPr>
      </w:pPr>
    </w:p>
    <w:p>
      <w:pPr>
        <w:pStyle w:val="4"/>
        <w:rPr>
          <w:lang w:eastAsia="en-US"/>
        </w:rPr>
      </w:pPr>
      <w:bookmarkStart w:id="125" w:name="_Toc84413458"/>
      <w:bookmarkStart w:id="126" w:name="_Toc68230598"/>
      <w:bookmarkStart w:id="127" w:name="_Toc83580340"/>
      <w:bookmarkStart w:id="128" w:name="_Toc36107488"/>
      <w:bookmarkStart w:id="129" w:name="_Toc124256609"/>
      <w:bookmarkStart w:id="130" w:name="_Toc29801697"/>
      <w:bookmarkStart w:id="131" w:name="_Toc69084011"/>
      <w:bookmarkStart w:id="132" w:name="_Toc61367275"/>
      <w:bookmarkStart w:id="133" w:name="_Toc76718030"/>
      <w:bookmarkStart w:id="134" w:name="_Toc45888635"/>
      <w:bookmarkStart w:id="135" w:name="_Toc45888036"/>
      <w:bookmarkStart w:id="136" w:name="_Toc21344213"/>
      <w:bookmarkStart w:id="137" w:name="_Toc123057916"/>
      <w:bookmarkStart w:id="138" w:name="_Toc61372658"/>
      <w:bookmarkStart w:id="139" w:name="_Toc29802121"/>
      <w:bookmarkStart w:id="140" w:name="_Toc75467018"/>
      <w:bookmarkStart w:id="141" w:name="_Toc106127551"/>
      <w:bookmarkStart w:id="142" w:name="_Toc37251247"/>
      <w:bookmarkStart w:id="143" w:name="_Toc76509040"/>
      <w:bookmarkStart w:id="144" w:name="_Toc29802746"/>
      <w:bookmarkStart w:id="145" w:name="_Toc84404849"/>
      <w:r>
        <w:rPr>
          <w:lang w:eastAsia="en-US"/>
        </w:rPr>
        <w:t>5.4.3</w:t>
      </w:r>
      <w:r>
        <w:rPr>
          <w:lang w:eastAsia="en-US"/>
        </w:rPr>
        <w:tab/>
      </w:r>
      <w:r>
        <w:rPr>
          <w:rFonts w:hint="eastAsia"/>
          <w:lang w:eastAsia="en-US"/>
        </w:rPr>
        <w:t xml:space="preserve">Synchronization </w:t>
      </w:r>
      <w:r>
        <w:rPr>
          <w:lang w:eastAsia="en-US"/>
        </w:rPr>
        <w:t>r</w:t>
      </w:r>
      <w:r>
        <w:rPr>
          <w:rFonts w:hint="eastAsia"/>
          <w:lang w:eastAsia="en-US"/>
        </w:rPr>
        <w:t>aster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>
      <w:pPr>
        <w:pStyle w:val="5"/>
        <w:rPr>
          <w:lang w:eastAsia="en-US"/>
        </w:rPr>
      </w:pPr>
      <w:bookmarkStart w:id="146" w:name="_Toc61367277"/>
      <w:bookmarkStart w:id="147" w:name="_Toc123057919"/>
      <w:bookmarkStart w:id="148" w:name="_Toc104503623"/>
      <w:bookmarkStart w:id="149" w:name="_Toc75467020"/>
      <w:bookmarkStart w:id="150" w:name="_Toc68230600"/>
      <w:bookmarkStart w:id="151" w:name="_Toc36107490"/>
      <w:bookmarkStart w:id="152" w:name="_Toc97562278"/>
      <w:bookmarkStart w:id="153" w:name="_Toc69084013"/>
      <w:bookmarkStart w:id="154" w:name="_Toc84404851"/>
      <w:bookmarkStart w:id="155" w:name="_Toc83580342"/>
      <w:bookmarkStart w:id="156" w:name="_Toc76509042"/>
      <w:bookmarkStart w:id="157" w:name="_Toc61372660"/>
      <w:bookmarkStart w:id="158" w:name="_Toc76718032"/>
      <w:bookmarkStart w:id="159" w:name="_Toc104122505"/>
      <w:bookmarkStart w:id="160" w:name="_Toc106127554"/>
      <w:bookmarkStart w:id="161" w:name="_Toc124256612"/>
      <w:bookmarkStart w:id="162" w:name="_Toc104206663"/>
      <w:bookmarkStart w:id="163" w:name="_Toc29802748"/>
      <w:bookmarkStart w:id="164" w:name="_Toc37251249"/>
      <w:bookmarkStart w:id="165" w:name="_Toc45888637"/>
      <w:bookmarkStart w:id="166" w:name="_Toc104205456"/>
      <w:bookmarkStart w:id="167" w:name="_Toc84413460"/>
      <w:bookmarkStart w:id="168" w:name="_Toc29801699"/>
      <w:bookmarkStart w:id="169" w:name="_Toc45888038"/>
      <w:bookmarkStart w:id="170" w:name="_Toc29802123"/>
      <w:r>
        <w:rPr>
          <w:lang w:eastAsia="en-US"/>
        </w:rPr>
        <w:t>5.4.3.3</w:t>
      </w:r>
      <w:r>
        <w:rPr>
          <w:lang w:eastAsia="en-US"/>
        </w:rPr>
        <w:tab/>
      </w:r>
      <w:r>
        <w:rPr>
          <w:rFonts w:hint="eastAsia"/>
          <w:lang w:eastAsia="en-US"/>
        </w:rPr>
        <w:t xml:space="preserve">Synchronization </w:t>
      </w:r>
      <w:r>
        <w:rPr>
          <w:lang w:eastAsia="en-US"/>
        </w:rPr>
        <w:t>r</w:t>
      </w:r>
      <w:r>
        <w:rPr>
          <w:rFonts w:hint="eastAsia"/>
          <w:lang w:eastAsia="en-US"/>
        </w:rPr>
        <w:t>aster</w:t>
      </w:r>
      <w:r>
        <w:rPr>
          <w:lang w:eastAsia="en-US"/>
        </w:rPr>
        <w:t xml:space="preserve"> entries for each operating band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>
      <w:pPr>
        <w:rPr>
          <w:rFonts w:eastAsia="Yu Mincho"/>
          <w:lang w:eastAsia="en-US"/>
        </w:rPr>
      </w:pPr>
      <w:r>
        <w:rPr>
          <w:rFonts w:eastAsia="Yu Mincho"/>
          <w:lang w:eastAsia="en-US"/>
        </w:rPr>
        <w:t>The synchronization raster for each band is give in Table 5.4.3.3-1. The distance between applicable GSCN entries is given by the &lt;Step size&gt; indicated in Table 5.4.3.3-1.</w:t>
      </w:r>
    </w:p>
    <w:p>
      <w:pPr>
        <w:pStyle w:val="56"/>
        <w:rPr>
          <w:lang w:eastAsia="en-US"/>
        </w:rPr>
      </w:pPr>
      <w:r>
        <w:rPr>
          <w:lang w:eastAsia="en-US"/>
        </w:rPr>
        <w:t>Table 5.4.3.3-1: Applicable SS raster entries per operating band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7"/>
        <w:gridCol w:w="2331"/>
        <w:gridCol w:w="2339"/>
        <w:gridCol w:w="2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NTN satellite operating band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SS Block SCS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SS Block pattern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Range of GSCN</w:t>
            </w:r>
          </w:p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n256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15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Case </w:t>
            </w:r>
            <w:r>
              <w:rPr>
                <w:rFonts w:hint="eastAsia"/>
              </w:rPr>
              <w:t>A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5429 – &lt;1&gt; – 5494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n255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15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Case </w:t>
            </w:r>
            <w:r>
              <w:rPr>
                <w:rFonts w:hint="eastAsia"/>
              </w:rPr>
              <w:t>A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3818</w:t>
            </w:r>
            <w:r>
              <w:t xml:space="preserve"> – &lt;1&gt; –</w:t>
            </w:r>
            <w:r>
              <w:rPr>
                <w:rFonts w:hint="eastAsia"/>
              </w:rPr>
              <w:t xml:space="preserve"> 3892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30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Case B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3824 – &lt;1&gt; – 3886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45" w:author="ZTE, Wei Lin" w:date="2023-04-05T17:02:1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6" w:author="ZTE, Wei Lin" w:date="2023-04-05T17:02:14Z">
              <w:r>
                <w:rPr>
                  <w:rFonts w:hint="eastAsia" w:eastAsia="宋体"/>
                  <w:lang w:val="en-US" w:eastAsia="zh-CN"/>
                </w:rPr>
                <w:t>254</w:t>
              </w:r>
            </w:ins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47" w:author="ZTE, Wei Lin" w:date="2023-04-05T17:02:2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48" w:author="ZTE, Wei Lin" w:date="2023-04-05T17:02:2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9" w:author="ZTE, Wei Lin" w:date="2023-04-05T17:02:24Z">
              <w:r>
                <w:rPr>
                  <w:rFonts w:hint="eastAsia" w:eastAsia="宋体"/>
                  <w:lang w:val="en-US" w:eastAsia="zh-CN"/>
                </w:rPr>
                <w:t xml:space="preserve"> k</w:t>
              </w:r>
            </w:ins>
            <w:ins w:id="50" w:author="ZTE, Wei Lin" w:date="2023-04-05T17:02:26Z">
              <w:r>
                <w:rPr>
                  <w:rFonts w:hint="eastAsia" w:eastAsia="宋体"/>
                  <w:lang w:val="en-US" w:eastAsia="zh-CN"/>
                </w:rPr>
                <w:t>Hz</w:t>
              </w:r>
            </w:ins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51" w:author="ZTE, Wei Lin" w:date="2023-04-05T17:02:37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52" w:author="ZTE, Wei Lin" w:date="2023-04-05T17:02:38Z">
              <w:r>
                <w:rPr>
                  <w:rFonts w:hint="eastAsia" w:eastAsia="宋体"/>
                  <w:lang w:val="en-US" w:eastAsia="zh-CN"/>
                </w:rPr>
                <w:t>ase</w:t>
              </w:r>
            </w:ins>
            <w:ins w:id="53" w:author="ZTE, Wei Lin" w:date="2023-04-05T17:02:3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4" w:author="ZTE, Wei Lin" w:date="2023-04-05T17:02:4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55" w:author="ZTE, Wei Lin" w:date="2023-04-05T17:03:07Z">
              <w:r>
                <w:rPr>
                  <w:rFonts w:hint="eastAsia"/>
                </w:rPr>
                <w:t>6215 – &lt;1&gt; – 6244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56" w:author="ZTE, Wei Lin" w:date="2023-04-05T17:02:29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  <w:ins w:id="57" w:author="ZTE, Wei Lin" w:date="2023-04-05T17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8" w:author="ZTE, Wei Lin" w:date="2023-04-05T17:02:32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ins w:id="59" w:author="ZTE, Wei Lin" w:date="2023-04-05T17:02:33Z">
              <w:r>
                <w:rPr>
                  <w:rFonts w:hint="eastAsia" w:eastAsia="宋体"/>
                  <w:lang w:val="en-US" w:eastAsia="zh-CN"/>
                </w:rPr>
                <w:t>Hz</w:t>
              </w:r>
            </w:ins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60" w:author="ZTE, Wei Lin" w:date="2023-04-05T17:02:41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61" w:author="ZTE, Wei Lin" w:date="2023-04-05T17:02:42Z">
              <w:r>
                <w:rPr>
                  <w:rFonts w:hint="eastAsia" w:eastAsia="宋体"/>
                  <w:lang w:val="en-US" w:eastAsia="zh-CN"/>
                </w:rPr>
                <w:t xml:space="preserve">ase </w:t>
              </w:r>
            </w:ins>
            <w:ins w:id="62" w:author="ZTE, Wei Lin" w:date="2023-04-06T09:48:49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63" w:author="ZTE, Wei Lin" w:date="2023-04-05T17:03:16Z">
              <w:r>
                <w:rPr>
                  <w:rFonts w:hint="eastAsia"/>
                </w:rPr>
                <w:t>6218 – &lt;1&gt; – 6241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en-US"/>
              </w:rPr>
            </w:pPr>
            <w:r>
              <w:rPr>
                <w:lang w:eastAsia="en-US"/>
              </w:rPr>
              <w:t>NOTE 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SS Block pattern is defined in clause 4.1 in 3GPP TS 38.213 [7].</w:t>
            </w:r>
          </w:p>
        </w:tc>
      </w:tr>
    </w:tbl>
    <w:p>
      <w:pPr>
        <w:rPr>
          <w:rFonts w:cs="v4.2.0"/>
        </w:rPr>
      </w:pPr>
    </w:p>
    <w:p>
      <w:pPr>
        <w:pStyle w:val="4"/>
      </w:pPr>
      <w:bookmarkStart w:id="171" w:name="OLE_LINK2"/>
      <w:r>
        <w:rPr>
          <w:rFonts w:hint="eastAsia" w:eastAsia="宋体"/>
          <w:lang w:val="en-US" w:eastAsia="zh-CN"/>
        </w:rPr>
        <w:t xml:space="preserve">5.4.4 </w:t>
      </w:r>
      <w:r>
        <w:t>TX–RX frequency separation</w:t>
      </w:r>
    </w:p>
    <w:bookmarkEnd w:id="171"/>
    <w:p>
      <w:r>
        <w:t>The default TX channel (carrier centre frequency) to RX channel (carrier centre frequency) separation for operating bands is specified in Table 5.4.4-1.</w:t>
      </w:r>
    </w:p>
    <w:p>
      <w:pPr>
        <w:pStyle w:val="56"/>
      </w:pPr>
      <w:r>
        <w:t>Table 5.4.4-1: UE TX-RX frequency separation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7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17" w:type="dxa"/>
          </w:tcPr>
          <w:p>
            <w:pPr>
              <w:pStyle w:val="52"/>
            </w:pPr>
            <w:r>
              <w:t>NTN Satellite Operating Band</w:t>
            </w:r>
          </w:p>
        </w:tc>
        <w:tc>
          <w:tcPr>
            <w:tcW w:w="2693" w:type="dxa"/>
          </w:tcPr>
          <w:p>
            <w:pPr>
              <w:pStyle w:val="52"/>
            </w:pPr>
            <w:r>
              <w:t xml:space="preserve">TX </w:t>
            </w:r>
            <w:r>
              <w:rPr>
                <w:rFonts w:cs="v5.0.0"/>
              </w:rPr>
              <w:t>–</w:t>
            </w:r>
            <w:r>
              <w:t xml:space="preserve"> RX </w:t>
            </w:r>
            <w:r>
              <w:br w:type="textWrapping"/>
            </w:r>
            <w:r>
              <w:t>carrier centre frequency</w:t>
            </w:r>
            <w:r>
              <w:br w:type="textWrapping"/>
            </w:r>
            <w:r>
              <w:t>separation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>256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/>
              </w:rPr>
              <w:t>190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/>
              </w:rPr>
              <w:t>n2</w:t>
            </w:r>
            <w:r>
              <w:rPr>
                <w:lang w:val="en-US"/>
              </w:rPr>
              <w:t>55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/>
              </w:rPr>
              <w:t>-</w:t>
            </w:r>
            <w:r>
              <w:rPr>
                <w:lang w:val="en-US"/>
              </w:rPr>
              <w:t>101.5</w:t>
            </w:r>
            <w:r>
              <w:rPr>
                <w:rFonts w:hint="eastAsia"/>
                <w:lang w:val="en-US"/>
              </w:rPr>
              <w:t xml:space="preserve">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" w:author="ZTE, Wei Lin" w:date="2023-04-05T17:04:07Z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5" w:author="ZTE, Wei Lin" w:date="2023-04-05T17:04:07Z"/>
                <w:rFonts w:hint="default" w:eastAsia="宋体"/>
                <w:lang w:val="en-US" w:eastAsia="zh-CN"/>
              </w:rPr>
            </w:pPr>
            <w:ins w:id="66" w:author="ZTE, Wei Lin" w:date="2023-04-05T17:04:1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67" w:author="ZTE, Wei Lin" w:date="2023-04-05T17:04:1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68" w:author="ZTE, Wei Lin" w:date="2023-04-05T17:04:1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9" w:author="ZTE, Wei Lin" w:date="2023-04-05T17:04:07Z"/>
                <w:rFonts w:hint="default" w:eastAsia="宋体"/>
                <w:lang w:val="en-US" w:eastAsia="zh-CN"/>
              </w:rPr>
            </w:pPr>
            <w:ins w:id="70" w:author="ZTE, Wei Lin" w:date="2023-04-05T17:04:23Z">
              <w:r>
                <w:rPr>
                  <w:rFonts w:hint="eastAsia" w:eastAsia="宋体"/>
                  <w:lang w:val="en-US" w:eastAsia="zh-CN"/>
                </w:rPr>
                <w:t>87</w:t>
              </w:r>
            </w:ins>
            <w:ins w:id="71" w:author="ZTE, Wei Lin" w:date="2023-04-05T17:04:24Z">
              <w:r>
                <w:rPr>
                  <w:rFonts w:hint="eastAsia" w:eastAsia="宋体"/>
                  <w:lang w:val="en-US" w:eastAsia="zh-CN"/>
                </w:rPr>
                <w:t>3.5</w:t>
              </w:r>
            </w:ins>
            <w:ins w:id="72" w:author="ZTE, Wei Lin" w:date="2023-04-05T17:04:28Z">
              <w:r>
                <w:rPr>
                  <w:rFonts w:hint="eastAsia" w:eastAsia="宋体"/>
                  <w:lang w:val="en-US" w:eastAsia="zh-CN"/>
                </w:rPr>
                <w:t xml:space="preserve"> M</w:t>
              </w:r>
            </w:ins>
            <w:ins w:id="73" w:author="ZTE, Wei Lin" w:date="2023-04-05T17:04:30Z">
              <w:r>
                <w:rPr>
                  <w:rFonts w:hint="eastAsia" w:eastAsia="宋体"/>
                  <w:lang w:val="en-US" w:eastAsia="zh-CN"/>
                </w:rPr>
                <w:t>H</w:t>
              </w:r>
            </w:ins>
            <w:ins w:id="74" w:author="ZTE, Wei Lin" w:date="2023-04-05T17:04:31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</w:p>
        </w:tc>
      </w:tr>
    </w:tbl>
    <w:p>
      <w:pPr>
        <w:rPr>
          <w:rFonts w:cs="v4.2.0"/>
        </w:rPr>
      </w:pPr>
    </w:p>
    <w:p>
      <w:pPr>
        <w:pStyle w:val="2"/>
      </w:pPr>
      <w:bookmarkStart w:id="172" w:name="_Toc124256614"/>
      <w:bookmarkStart w:id="173" w:name="_Toc104503625"/>
      <w:bookmarkStart w:id="174" w:name="_Toc104205458"/>
      <w:bookmarkStart w:id="175" w:name="_Toc106127556"/>
      <w:bookmarkStart w:id="176" w:name="_Toc104206665"/>
      <w:bookmarkStart w:id="177" w:name="_Toc104122507"/>
      <w:bookmarkStart w:id="178" w:name="_Toc123057921"/>
      <w:bookmarkStart w:id="179" w:name="_Toc97562280"/>
      <w:r>
        <w:t>6</w:t>
      </w:r>
      <w:r>
        <w:tab/>
      </w:r>
      <w:r>
        <w:t>Conducted transmitter characteristics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>
      <w:pPr>
        <w:pStyle w:val="3"/>
      </w:pPr>
      <w:bookmarkStart w:id="180" w:name="_Toc124256616"/>
      <w:bookmarkStart w:id="181" w:name="_Toc106127558"/>
      <w:bookmarkStart w:id="182" w:name="_Toc97562282"/>
      <w:bookmarkStart w:id="183" w:name="_Toc123057923"/>
      <w:bookmarkStart w:id="184" w:name="_Toc104503627"/>
      <w:bookmarkStart w:id="185" w:name="_Toc104122509"/>
      <w:bookmarkStart w:id="186" w:name="_Toc104205460"/>
      <w:bookmarkStart w:id="187" w:name="_Toc104206667"/>
      <w:r>
        <w:t>6.2</w:t>
      </w:r>
      <w:r>
        <w:tab/>
      </w:r>
      <w:r>
        <w:t>Transmitter power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>
      <w:pPr>
        <w:pStyle w:val="4"/>
      </w:pPr>
      <w:bookmarkStart w:id="188" w:name="_Toc97562283"/>
      <w:bookmarkStart w:id="189" w:name="_Toc104205461"/>
      <w:bookmarkStart w:id="190" w:name="_Toc104503628"/>
      <w:bookmarkStart w:id="191" w:name="_Toc106127559"/>
      <w:bookmarkStart w:id="192" w:name="_Toc104122510"/>
      <w:bookmarkStart w:id="193" w:name="_Toc104206668"/>
      <w:bookmarkStart w:id="194" w:name="_Toc123057924"/>
      <w:bookmarkStart w:id="195" w:name="_Toc124256617"/>
      <w:r>
        <w:t>6.2.1</w:t>
      </w:r>
      <w:r>
        <w:tab/>
      </w:r>
      <w:r>
        <w:t>UE maximum output power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>
      <w:pPr>
        <w:pStyle w:val="56"/>
      </w:pPr>
      <w:r>
        <w:t>Table 6.2.1-1: UE Power Class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8"/>
        <w:gridCol w:w="2408"/>
        <w:gridCol w:w="3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8" w:type="dxa"/>
            <w:vAlign w:val="center"/>
          </w:tcPr>
          <w:p>
            <w:pPr>
              <w:pStyle w:val="52"/>
            </w:pPr>
            <w:r>
              <w:t>NR satellite band</w:t>
            </w:r>
          </w:p>
        </w:tc>
        <w:tc>
          <w:tcPr>
            <w:tcW w:w="2408" w:type="dxa"/>
          </w:tcPr>
          <w:p>
            <w:pPr>
              <w:pStyle w:val="52"/>
            </w:pPr>
            <w:r>
              <w:t>Class 3 (dBm)</w:t>
            </w:r>
          </w:p>
        </w:tc>
        <w:tc>
          <w:tcPr>
            <w:tcW w:w="3118" w:type="dxa"/>
          </w:tcPr>
          <w:p>
            <w:pPr>
              <w:pStyle w:val="52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8" w:type="dxa"/>
          </w:tcPr>
          <w:p>
            <w:pPr>
              <w:pStyle w:val="53"/>
            </w:pPr>
            <w:r>
              <w:t>n256</w:t>
            </w:r>
          </w:p>
        </w:tc>
        <w:tc>
          <w:tcPr>
            <w:tcW w:w="2408" w:type="dxa"/>
          </w:tcPr>
          <w:p>
            <w:pPr>
              <w:pStyle w:val="53"/>
            </w:pPr>
            <w:r>
              <w:t>23</w:t>
            </w:r>
          </w:p>
        </w:tc>
        <w:tc>
          <w:tcPr>
            <w:tcW w:w="3118" w:type="dxa"/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8" w:type="dxa"/>
          </w:tcPr>
          <w:p>
            <w:pPr>
              <w:pStyle w:val="53"/>
            </w:pPr>
            <w:r>
              <w:t>n255</w:t>
            </w:r>
          </w:p>
        </w:tc>
        <w:tc>
          <w:tcPr>
            <w:tcW w:w="2408" w:type="dxa"/>
          </w:tcPr>
          <w:p>
            <w:pPr>
              <w:pStyle w:val="53"/>
            </w:pPr>
            <w:r>
              <w:t>23</w:t>
            </w:r>
          </w:p>
        </w:tc>
        <w:tc>
          <w:tcPr>
            <w:tcW w:w="3118" w:type="dxa"/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8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75" w:author="ZTE, Wei Lin" w:date="2023-04-05T17:06:23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76" w:author="ZTE, Wei Lin" w:date="2023-04-05T17:06:24Z">
              <w:r>
                <w:rPr>
                  <w:rFonts w:hint="eastAsia" w:eastAsia="宋体"/>
                  <w:lang w:val="en-US" w:eastAsia="zh-CN"/>
                </w:rPr>
                <w:t>254</w:t>
              </w:r>
            </w:ins>
          </w:p>
        </w:tc>
        <w:tc>
          <w:tcPr>
            <w:tcW w:w="2408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77" w:author="ZTE, Wei Lin" w:date="2023-04-05T17:06:27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3118" w:type="dxa"/>
          </w:tcPr>
          <w:p>
            <w:pPr>
              <w:pStyle w:val="53"/>
            </w:pPr>
            <w:ins w:id="78" w:author="ZTE, Wei Lin" w:date="2023-04-05T17:06:37Z">
              <w:r>
                <w:rPr>
                  <w:rFonts w:hint="eastAsia"/>
                </w:rPr>
                <w:t>±2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4" w:type="dxa"/>
            <w:gridSpan w:val="3"/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Power</w:t>
            </w:r>
            <w:r>
              <w:rPr>
                <w:vertAlign w:val="subscript"/>
              </w:rPr>
              <w:t xml:space="preserve"> </w:t>
            </w:r>
            <w:r>
              <w:t>class 3 is default power class unless otherwise stated</w:t>
            </w:r>
          </w:p>
        </w:tc>
      </w:tr>
    </w:tbl>
    <w:p>
      <w:pPr>
        <w:rPr>
          <w:rFonts w:cs="v4.2.0"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2623DFD"/>
    <w:rsid w:val="055A4E61"/>
    <w:rsid w:val="06001402"/>
    <w:rsid w:val="07720BEE"/>
    <w:rsid w:val="26B20CAD"/>
    <w:rsid w:val="2E9F50EF"/>
    <w:rsid w:val="30226363"/>
    <w:rsid w:val="39BE75DA"/>
    <w:rsid w:val="4CD034C5"/>
    <w:rsid w:val="51A9145F"/>
    <w:rsid w:val="5F0470F0"/>
    <w:rsid w:val="625873FA"/>
    <w:rsid w:val="77A6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3</TotalTime>
  <ScaleCrop>false</ScaleCrop>
  <LinksUpToDate>false</LinksUpToDate>
  <CharactersWithSpaces>2377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Wei Lin</cp:lastModifiedBy>
  <cp:lastPrinted>2411-12-31T23:00:00Z</cp:lastPrinted>
  <dcterms:modified xsi:type="dcterms:W3CDTF">2023-04-10T06:48:46Z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27B42AD35628413887C882AABFB429D5</vt:lpwstr>
  </property>
</Properties>
</file>